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2F69BC6A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02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B56CE"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1775AB2A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D312B7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B56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5B2C6029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 xml:space="preserve">Севастополя в </w:t>
      </w:r>
      <w:r w:rsidR="00D312B7">
        <w:rPr>
          <w:rFonts w:ascii="Arial" w:hAnsi="Arial" w:cs="Arial"/>
          <w:b/>
          <w:bCs/>
          <w:color w:val="363194"/>
        </w:rPr>
        <w:t xml:space="preserve">январе </w:t>
      </w:r>
      <w:r w:rsidR="00D312B7">
        <w:rPr>
          <w:rFonts w:ascii="Arial" w:hAnsi="Arial" w:cs="Arial"/>
          <w:b/>
          <w:bCs/>
          <w:color w:val="363194"/>
        </w:rPr>
        <w:t>–</w:t>
      </w:r>
      <w:r w:rsidR="00D312B7">
        <w:rPr>
          <w:rFonts w:ascii="Arial" w:hAnsi="Arial" w:cs="Arial"/>
          <w:b/>
          <w:bCs/>
          <w:color w:val="363194"/>
        </w:rPr>
        <w:t xml:space="preserve"> </w:t>
      </w:r>
      <w:r w:rsidR="00BB56CE">
        <w:rPr>
          <w:rFonts w:ascii="Arial" w:hAnsi="Arial" w:cs="Arial"/>
          <w:b/>
          <w:bCs/>
          <w:color w:val="363194"/>
        </w:rPr>
        <w:t>феврале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2FDD5AA3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январе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феврале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1486,0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5E5C7DE7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 xml:space="preserve">По результатам деятельности в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 </w:t>
      </w:r>
      <w:r w:rsidR="00D312B7">
        <w:rPr>
          <w:rFonts w:ascii="Arial" w:eastAsia="Calibri" w:hAnsi="Arial" w:cs="Arial"/>
          <w:color w:val="282A2E"/>
          <w:kern w:val="2"/>
        </w:rPr>
        <w:t>–</w:t>
      </w:r>
      <w:r w:rsidR="00D312B7">
        <w:rPr>
          <w:rFonts w:ascii="Arial" w:eastAsia="Calibri" w:hAnsi="Arial" w:cs="Arial"/>
          <w:color w:val="282A2E"/>
          <w:kern w:val="2"/>
        </w:rPr>
        <w:t xml:space="preserve"> </w:t>
      </w:r>
      <w:r w:rsidR="00BB56CE">
        <w:rPr>
          <w:rFonts w:ascii="Arial" w:eastAsia="Calibri" w:hAnsi="Arial" w:cs="Arial"/>
          <w:color w:val="282A2E"/>
          <w:kern w:val="2"/>
        </w:rPr>
        <w:t>феврале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BB56CE">
        <w:rPr>
          <w:rFonts w:ascii="Arial" w:eastAsia="Calibri" w:hAnsi="Arial" w:cs="Arial"/>
          <w:color w:val="282A2E"/>
          <w:kern w:val="2"/>
        </w:rPr>
        <w:t>64,4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BB56CE">
        <w:rPr>
          <w:rFonts w:ascii="Arial" w:eastAsia="Calibri" w:hAnsi="Arial" w:cs="Arial"/>
          <w:color w:val="282A2E"/>
          <w:kern w:val="2"/>
        </w:rPr>
        <w:t>2619,7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январем </w:t>
      </w:r>
      <w:bookmarkStart w:id="0" w:name="_GoBack"/>
      <w:bookmarkEnd w:id="0"/>
      <w:r w:rsidR="00D312B7">
        <w:rPr>
          <w:rFonts w:ascii="Arial" w:eastAsia="Calibri" w:hAnsi="Arial" w:cs="Arial"/>
          <w:color w:val="282A2E"/>
          <w:kern w:val="2"/>
        </w:rPr>
        <w:t>–</w:t>
      </w:r>
      <w:r w:rsidR="00D312B7">
        <w:rPr>
          <w:rFonts w:ascii="Arial" w:eastAsia="Calibri" w:hAnsi="Arial" w:cs="Arial"/>
          <w:color w:val="282A2E"/>
          <w:kern w:val="2"/>
        </w:rPr>
        <w:t xml:space="preserve"> </w:t>
      </w:r>
      <w:r w:rsidR="00BB56CE">
        <w:rPr>
          <w:rFonts w:ascii="Arial" w:eastAsia="Calibri" w:hAnsi="Arial" w:cs="Arial"/>
          <w:color w:val="282A2E"/>
          <w:kern w:val="2"/>
        </w:rPr>
        <w:t>февралем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</w:t>
      </w:r>
      <w:r w:rsidR="00BB56CE">
        <w:rPr>
          <w:rFonts w:ascii="Arial" w:eastAsia="Calibri" w:hAnsi="Arial" w:cs="Arial"/>
          <w:color w:val="282A2E"/>
          <w:kern w:val="2"/>
        </w:rPr>
        <w:t>увеличилась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BB56CE">
        <w:rPr>
          <w:rFonts w:ascii="Arial" w:eastAsia="Calibri" w:hAnsi="Arial" w:cs="Arial"/>
          <w:color w:val="282A2E"/>
          <w:kern w:val="2"/>
        </w:rPr>
        <w:t>5,9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0C54C56B" w14:textId="24F44E4B" w:rsidR="008D2733" w:rsidRPr="008D2733" w:rsidRDefault="008D2733" w:rsidP="006572FF">
      <w:pPr>
        <w:ind w:firstLine="567"/>
        <w:jc w:val="both"/>
        <w:rPr>
          <w:rFonts w:ascii="Times New Roman" w:eastAsia="Calibri" w:hAnsi="Times New Roman" w:cs="Times New Roman"/>
          <w:color w:val="282A2E"/>
          <w:kern w:val="2"/>
          <w:sz w:val="28"/>
          <w:szCs w:val="28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С убытком завершили период </w:t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35,6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% предприятий. Сумма допущенных убытков </w:t>
      </w:r>
      <w:r w:rsidR="00255962">
        <w:rPr>
          <w:rFonts w:ascii="Arial" w:eastAsia="Calibri" w:hAnsi="Arial" w:cs="Arial"/>
          <w:color w:val="282A2E"/>
          <w:kern w:val="2"/>
          <w:lang w:eastAsia="ru-RU"/>
        </w:rPr>
        <w:t>увеличилас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ь по сравнению с соответствующим периодом 202</w:t>
      </w:r>
      <w:r w:rsidR="00F7241E">
        <w:rPr>
          <w:rFonts w:ascii="Arial" w:eastAsia="Calibri" w:hAnsi="Arial" w:cs="Arial"/>
          <w:color w:val="282A2E"/>
          <w:kern w:val="2"/>
          <w:lang w:eastAsia="ru-RU"/>
        </w:rPr>
        <w:t>3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</w:t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в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2,9 раза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и составила </w:t>
      </w:r>
      <w:r w:rsidR="00BB56CE">
        <w:rPr>
          <w:rFonts w:ascii="Arial" w:eastAsia="Calibri" w:hAnsi="Arial" w:cs="Arial"/>
          <w:color w:val="282A2E"/>
          <w:kern w:val="2"/>
          <w:lang w:eastAsia="ru-RU"/>
        </w:rPr>
        <w:t>1133,7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</w:p>
    <w:p w14:paraId="13BFD85F" w14:textId="77777777" w:rsidR="008D2733" w:rsidRDefault="008D2733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47217D98" w14:textId="1EFDDBF2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396AE9">
        <w:rPr>
          <w:rFonts w:ascii="Arial" w:eastAsia="Times New Roman" w:hAnsi="Arial" w:cs="Arial"/>
          <w:b/>
          <w:color w:val="363194"/>
          <w:lang w:eastAsia="ru-RU"/>
        </w:rPr>
        <w:t>29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396AE9">
        <w:rPr>
          <w:rFonts w:ascii="Arial" w:eastAsia="Times New Roman" w:hAnsi="Arial" w:cs="Arial"/>
          <w:b/>
          <w:color w:val="363194"/>
          <w:lang w:eastAsia="ru-RU"/>
        </w:rPr>
        <w:t>февраля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3B5966F5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681EC9">
        <w:rPr>
          <w:rFonts w:ascii="Arial" w:eastAsia="Times New Roman" w:hAnsi="Arial" w:cs="Arial"/>
          <w:color w:val="282A2E"/>
          <w:lang w:eastAsia="ru-RU"/>
        </w:rPr>
        <w:t>февраля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681EC9">
        <w:rPr>
          <w:rFonts w:ascii="Arial" w:eastAsia="Times New Roman" w:hAnsi="Arial" w:cs="Arial"/>
          <w:color w:val="282A2E"/>
          <w:lang w:eastAsia="ru-RU"/>
        </w:rPr>
        <w:t>71011,3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681EC9">
        <w:rPr>
          <w:rFonts w:ascii="Arial" w:eastAsia="Times New Roman" w:hAnsi="Arial" w:cs="Arial"/>
          <w:color w:val="282A2E"/>
          <w:lang w:eastAsia="ru-RU"/>
        </w:rPr>
        <w:t>4,0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681EC9">
        <w:rPr>
          <w:rFonts w:ascii="Arial" w:eastAsia="Times New Roman" w:hAnsi="Arial" w:cs="Arial"/>
          <w:color w:val="282A2E"/>
          <w:lang w:eastAsia="ru-RU"/>
        </w:rPr>
        <w:t>107,0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681EC9">
        <w:rPr>
          <w:rFonts w:ascii="Arial" w:eastAsia="Times New Roman" w:hAnsi="Arial" w:cs="Arial"/>
          <w:color w:val="282A2E"/>
          <w:kern w:val="2"/>
          <w:lang w:eastAsia="ru-RU"/>
        </w:rPr>
        <w:t>4,6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7C364D">
        <w:rPr>
          <w:rFonts w:ascii="Arial" w:eastAsia="Times New Roman" w:hAnsi="Arial" w:cs="Arial"/>
          <w:color w:val="282A2E"/>
          <w:kern w:val="2"/>
          <w:lang w:eastAsia="ru-RU"/>
        </w:rPr>
        <w:t>3246,4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7256E187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7C364D">
        <w:rPr>
          <w:rFonts w:ascii="Arial" w:eastAsia="Times New Roman" w:hAnsi="Arial" w:cs="Arial"/>
          <w:color w:val="282A2E"/>
          <w:lang w:eastAsia="ru-RU"/>
        </w:rPr>
        <w:t>февраля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7C364D">
        <w:rPr>
          <w:rFonts w:ascii="Arial" w:eastAsia="Times New Roman" w:hAnsi="Arial" w:cs="Arial"/>
          <w:color w:val="282A2E"/>
          <w:lang w:eastAsia="ru-RU"/>
        </w:rPr>
        <w:t>32302,1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7C364D">
        <w:rPr>
          <w:rFonts w:ascii="Arial" w:eastAsia="Times New Roman" w:hAnsi="Arial" w:cs="Arial"/>
          <w:color w:val="282A2E"/>
          <w:lang w:eastAsia="ru-RU"/>
        </w:rPr>
        <w:t>уменьшилась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7C364D">
        <w:rPr>
          <w:rFonts w:ascii="Arial" w:eastAsia="Times New Roman" w:hAnsi="Arial" w:cs="Arial"/>
          <w:color w:val="282A2E"/>
          <w:lang w:eastAsia="ru-RU"/>
        </w:rPr>
        <w:t>2,8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7C364D">
        <w:rPr>
          <w:rFonts w:ascii="Arial" w:eastAsia="Times New Roman" w:hAnsi="Arial" w:cs="Arial"/>
          <w:color w:val="282A2E"/>
          <w:lang w:eastAsia="ru-RU"/>
        </w:rPr>
        <w:t>8,1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7C364D">
        <w:rPr>
          <w:rFonts w:ascii="Arial" w:eastAsia="Times New Roman" w:hAnsi="Arial" w:cs="Arial"/>
          <w:color w:val="282A2E"/>
          <w:lang w:eastAsia="ru-RU"/>
        </w:rPr>
        <w:t>38,6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0C2AA2A5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7C364D">
        <w:rPr>
          <w:rFonts w:ascii="Arial" w:eastAsia="Times New Roman" w:hAnsi="Arial" w:cs="Arial"/>
          <w:color w:val="282A2E"/>
          <w:lang w:eastAsia="ru-RU"/>
        </w:rPr>
        <w:t>57,1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7C364D">
        <w:rPr>
          <w:rFonts w:ascii="Arial" w:eastAsia="Times New Roman" w:hAnsi="Arial" w:cs="Arial"/>
          <w:color w:val="282A2E"/>
          <w:lang w:eastAsia="ru-RU"/>
        </w:rPr>
        <w:t>49,1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1571E" w14:textId="77777777" w:rsidR="00E466C6" w:rsidRDefault="00E466C6" w:rsidP="000A4F53">
      <w:pPr>
        <w:spacing w:after="0" w:line="240" w:lineRule="auto"/>
      </w:pPr>
      <w:r>
        <w:separator/>
      </w:r>
    </w:p>
  </w:endnote>
  <w:endnote w:type="continuationSeparator" w:id="0">
    <w:p w14:paraId="6B692E1E" w14:textId="77777777" w:rsidR="00E466C6" w:rsidRDefault="00E466C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EC2A" w14:textId="77777777" w:rsidR="00E466C6" w:rsidRDefault="00E466C6" w:rsidP="000A4F53">
      <w:pPr>
        <w:spacing w:after="0" w:line="240" w:lineRule="auto"/>
      </w:pPr>
      <w:r>
        <w:separator/>
      </w:r>
    </w:p>
  </w:footnote>
  <w:footnote w:type="continuationSeparator" w:id="0">
    <w:p w14:paraId="6B33C0A6" w14:textId="77777777" w:rsidR="00E466C6" w:rsidRDefault="00E466C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025D"/>
    <w:rsid w:val="000403CF"/>
    <w:rsid w:val="0005702E"/>
    <w:rsid w:val="00064901"/>
    <w:rsid w:val="000A4F53"/>
    <w:rsid w:val="001262B3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55962"/>
    <w:rsid w:val="002D799B"/>
    <w:rsid w:val="002E36A3"/>
    <w:rsid w:val="002E38E3"/>
    <w:rsid w:val="002E4066"/>
    <w:rsid w:val="002F43A8"/>
    <w:rsid w:val="003248EE"/>
    <w:rsid w:val="00396AE9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E31AA"/>
    <w:rsid w:val="005F11C4"/>
    <w:rsid w:val="005F45B8"/>
    <w:rsid w:val="00613544"/>
    <w:rsid w:val="00646E49"/>
    <w:rsid w:val="0065389D"/>
    <w:rsid w:val="006572FF"/>
    <w:rsid w:val="00681EC9"/>
    <w:rsid w:val="006D0D8F"/>
    <w:rsid w:val="006D3A24"/>
    <w:rsid w:val="007238E9"/>
    <w:rsid w:val="007579C9"/>
    <w:rsid w:val="00775478"/>
    <w:rsid w:val="007A1977"/>
    <w:rsid w:val="007C364D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C14B2"/>
    <w:rsid w:val="009C3F79"/>
    <w:rsid w:val="009C5120"/>
    <w:rsid w:val="009C57DA"/>
    <w:rsid w:val="00A06F52"/>
    <w:rsid w:val="00A27F77"/>
    <w:rsid w:val="00A623A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B56CE"/>
    <w:rsid w:val="00BC1235"/>
    <w:rsid w:val="00BD3503"/>
    <w:rsid w:val="00BD3C6B"/>
    <w:rsid w:val="00C32AD1"/>
    <w:rsid w:val="00C965D0"/>
    <w:rsid w:val="00CA0225"/>
    <w:rsid w:val="00CA1919"/>
    <w:rsid w:val="00CE4488"/>
    <w:rsid w:val="00D01057"/>
    <w:rsid w:val="00D04954"/>
    <w:rsid w:val="00D17389"/>
    <w:rsid w:val="00D312B7"/>
    <w:rsid w:val="00D54931"/>
    <w:rsid w:val="00D55929"/>
    <w:rsid w:val="00D55ECE"/>
    <w:rsid w:val="00DA01F7"/>
    <w:rsid w:val="00DC3D74"/>
    <w:rsid w:val="00E466C6"/>
    <w:rsid w:val="00E5402F"/>
    <w:rsid w:val="00E71967"/>
    <w:rsid w:val="00EA5990"/>
    <w:rsid w:val="00EC52D0"/>
    <w:rsid w:val="00EC72E4"/>
    <w:rsid w:val="00F30887"/>
    <w:rsid w:val="00F35A65"/>
    <w:rsid w:val="00F37CFA"/>
    <w:rsid w:val="00F438E2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C1A0-34EB-4D51-AF17-374D9C64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26</cp:revision>
  <cp:lastPrinted>2024-02-06T05:45:00Z</cp:lastPrinted>
  <dcterms:created xsi:type="dcterms:W3CDTF">2024-01-23T12:56:00Z</dcterms:created>
  <dcterms:modified xsi:type="dcterms:W3CDTF">2024-04-16T11:09:00Z</dcterms:modified>
</cp:coreProperties>
</file>